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 мая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Константина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Александровича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4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16.12.2025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5rplc-16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86172519600089800003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23.04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не уплатившим штраф.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К.А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Андес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Константина Александровича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наказание в виде административного штрафа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десяти тысяч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0 0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0412365400285003042620171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Fonts w:ascii="Times New Roman CYR" w:eastAsia="Times New Roman CYR" w:hAnsi="Times New Roman CYR" w:cs="Times New Roman CYR"/>
        </w:rPr>
        <w:t>Копия верна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Мировой судья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